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color w:val="1F3864"/>
          <w:sz w:val="44"/>
          <w:szCs w:val="44"/>
        </w:rPr>
        <w:t xml:space="preserve">ВИБОРЧА СИСТЕМА ДАНІЇ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2E5797"/>
          <w:sz w:val="28"/>
          <w:szCs w:val="28"/>
        </w:rPr>
        <w:t xml:space="preserve">Псефологічний аналіз інституційної архітектури</w:t>
      </w:r>
    </w:p>
    <w:p>
      <w:pPr>
        <w:spacing w:after="600" w:before="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Актуально станом на 2026 рік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ЧАСТИНА 1. КОРОТКА ІНСТИТУЦІЙНА ГЕНЕЗА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Сучасна виборча система Данії є результатом поступального інституційного будівництва, яке тривало з 1849 по 1978 рік і відтоді залишається принципово незмінним. Кожен з її ключових елементів — пропорційність, низький поріг, відкриті списки, трирівнева структура розподілу мандатів — має конкретну історичну точку походження.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Червнева конституція (Junigrundloven) 1849 року заклала парламентаризм у вигляді двопалатного Rigsdag з нижньою палатою Folketing і верхньою Landsting. Виборча система тоді була мажоритарною в одномандатних округах з обмеженим виборчим правом. Принцип відповідальності уряду перед парламентом де-факто утвердився у 1901 році під час «Systemskiftet» — переходу влади до ліберальної Venstre — хоча конституційно парламентаризм було кодифіковано лише в §15 конституції 1953 року.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Конституційна реформа 1915 року стала поворотним пунктом одразу в двох вимірах. По-перше, вона надала виборче право жінкам і найнятим працівникам, фактично подвоївши електорат. По-друге — і це критично з псефологічної точки зору — консервативна більшість у Landsting погодилась на розширення виборчого права лише за умови переходу від мажоритарної системи до пропорційного представництва. Таким чином пропорційність була інституціоналізована як ціна за демократизацію.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Повна реалізація пропорційної системи відбулася на виборах 1920 року після возз'єднання Шлезвігу. Саме тоді запроваджено ту двоступеневу формулу — окружні мандати плюс компенсаторні на національному рівні — яка з незначними модифікаціями діє й сьогодні. Конституція 1953 року скасувала Landsting, перетворила Folketing на однопалатний парламент зі 179 місцями, кодифікувала негативний парламентаризм і запровадила інститут обов'язкових референдумів для делегування суверенітету. Нарешті, серія із п'яти референдумів з 1953 по 1978 рік поступово знизила вік виборчого права з 25 до 18 років. Відтоді архітектура виборчої системи не зазнавала структурних змін.</w:t>
      </w:r>
    </w:p>
    <w:p>
      <w:pPr>
        <w:spacing w:after="80" w:before="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ЧАСТИНА 2. ПОТОЧНІ ТИПИ ВИБОРІВ: АРХІТЕКТУРА СИСТЕМ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Данська псефологічна карта включає п'ять самостійних виборчих систем: парламентську (Folketing), муніципальну і регіональну (kommunalvalg / regionsvalg), загальноєвропейську (europaparlamentsvalg), референдну (folkeafstemning) і системи двох автономних територій — Фарерських островів та Гренландії. Кожна з них має окрему правову базу, власну виборчу формулу і специфічний набір псефологічних ефектів.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2.1 Парламентські вибори — Folketing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Правова база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Конституція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Grundlov 1953, §§ 28–32, 38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Основний закон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Lov om valg til Folketinget (Зведений акт № 1260 від 27.08.2020)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Склад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179 мандатів: 175 материкова Данія + 2 Фарерські о-ви + 2 Гренландія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Строк повноважень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 роки, з правом дострокового розпуску за указом прем'єр-міністра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Виборче право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Громадянство Данії + 18 років + постійне проживання в королівстві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Реєстрація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Автоматична через CPR (центральний реєстр населення)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24 березня 2026 року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Виборча формула: двоступенева пропорційність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Данська парламентська виборча система є однією з найточніших форм пропорційного представництва у світі. Вона поєднує окружний і національний рівні розподілу мандатів у спосіб, що гарантує майже досконалу відповідність між часткою голосів і часткою місць на рівні всієї країни.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Рівень перший — окружні мандати (kredsmandater). </w:t>
      </w:r>
      <w:r>
        <w:rPr>
          <w:rFonts w:ascii="Arial" w:cs="Arial" w:eastAsia="Arial" w:hAnsi="Arial"/>
          <w:sz w:val="22"/>
          <w:szCs w:val="22"/>
        </w:rPr>
        <w:t xml:space="preserve">175 материкових мандатів розподілено між 135 окружними і 40 компенсаторними (tillægsmandater). 135 окружних мандатів розподіляються між десятьма багатомандатними округами (storkredse) методом д'Ондта (дільники 1, 2, 3, 4…). Десять storkredse — Копенгаген, Великий Копенгаген, Північна Зеландія, Борнгольм, Зеландія, Фюн, Південна Ютландія, Східна Ютландія, Західна Ютландія і Північна Ютландія — об'єднані у три виборчі провінції (landsdele): Hoofdstaden, Sjælland-Syddanmark і Midtjylland-Nordjylland.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Рівень другий — компенсаторні мандати (tillægsmandater). </w:t>
      </w:r>
      <w:r>
        <w:rPr>
          <w:rFonts w:ascii="Arial" w:cs="Arial" w:eastAsia="Arial" w:hAnsi="Arial"/>
          <w:sz w:val="22"/>
          <w:szCs w:val="22"/>
        </w:rPr>
        <w:t xml:space="preserve">На національному рівні підраховується «належна» кількість місць для кожної партії — тобто скільки б вона отримала, якби всі 175 мандатів розподілялися пропорційно методом найбільшого залишку з квотою Хейра. Різниця між цим числом і вже отриманими окружними мандатами заповнюється 40 tillægsmandater, які розподіляються між трьома провінціями за модифікованим методом Сент-Лагюе (дільники 1, 3, 5, 7…). Ефект: партії, що «програли» від д'Ондта на окружному рівні, отримують компенсацію на національному — і загальна пропорційність виявляється практично ідеальною.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Усередині округів — 92 номінаційних одиниці (opstillingskredse). </w:t>
      </w:r>
      <w:r>
        <w:rPr>
          <w:rFonts w:ascii="Arial" w:cs="Arial" w:eastAsia="Arial" w:hAnsi="Arial"/>
          <w:sz w:val="22"/>
          <w:szCs w:val="22"/>
        </w:rPr>
        <w:t xml:space="preserve">Це менші географічні одиниці, успадковані від дореформеної мажоритарної системи. Вони не впливають на міжпартійний розподіл мандатів — їхня роль суто внутрішньопартійна: визначення порядку, в якому кандидати партії отримують місця на підставі особистих голосів.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Відкриті списки та особисте голосування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Виборець подає один голос — він зараховується або за партію загалом (partistemme), або за конкретного кандидата від цієї партії (kandidatstemme). Особисті голоси визначають внутрішньопартійний порядок отримання мандатів. Це означає, що виборець одночасно визначає і партійний баланс сил у парламенті, і конкретних людей, які потрапляють до нього. Partistemme та kandidatstemme мають рівну вагу при підрахунку загальної кількості голосів партії.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Прохідний поріг: правило 2% та три альтернативи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Стаття 77 Зведеного акту встановлює умови доступу до розподілу компенсаторних мандатів. Партія кваліфікується за однієї з трьох умов: (1) отримала щонайменше 2% дійсних голосів на національному рівні; (2) виграла щонайменше один прямий окружний мандат у будь-якому storkreds; (3) набрала в двох із трьох виборчих провінцій кількість голосів, що дорівнює провінційній квоті Хейра (тобто пропорційну частку провінційних мандатів).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Двовідсотковий поріг — один із найнижчих у Европі. Порівняння: 5% у Німеччині, 4% у Швеції та Норвегії, 3% в Іспанії, 3,25% в Ізраїлі. Логіка низького порогу пов'язана з інклюзивною моделлю консенсусної демократії: навіть дуже малі політичні меншини мають право на представництво. Псефологічний наслідок — постійна многопартійність. Станом на 2026 рік до Folketing проходить від 9 до 12 партій залежно від виборів, що є нормою, а не аномалією.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Додаткова вимога для нових партій — зібрати підписи vælgererklæringer у кількості 1/175 від загальної суми дійсних голосів попередніх виборів (орієнтовно 20 000 підписів). Це бар'єр реєстрації, а не прохідний поріг: він відсіює маргінальні ініціативи, але не перешкоджає справжнім новим партіям.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Негативний парламентаризм: уряди без вотуму довіри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Стаття 15 конституції 1953 року встановлює негативний парламентаризм: уряд не потребує позитивного голосування для вступу на посаду. Він може функціонувати, доки немає більшості проти нього. Це системна особливість, яка у поєднанні з низьким порогом і пропорційною системою робить меншинні уряди нормою данської політики. За загальноприйнятою оцінкою, Данія має один з найвищих у світі показників частоти меншинних урядів.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Механізм формування уряду після виборів складається з кількох стандартних кроків: монарх проводить Kongerunde — консультації з лідерами всіх парламентських фракцій; на підставі цих консультацій призначає «королівського слідчого» (kongelig undersøger) або «формувальника» (formand for forhandlingerne), уповноваженого провести коаліційні переговори. Прем'єр-міністр проголошує заяву про програму уряду перед Folketing; парламент може проголосувати за вотум недовіри лише після цього, а не до. Після виборів 24 березня 2026 року процес формування уряду тривав понад вісім тижнів — монарх спочатку доручив переговори Фредеріксен, а у травні 2026 року мандат перейшов до Троельса Лунда Поульсена з Venstre, що наочно ілюструє гнучкість механізму.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Блокова логіка: неформальний стабілізатор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Незважаючи на відсутність будь-якої формальної коаліційної вимоги, данські партії самоорганізуються у два конкуруючих блоки — «червоний» (rød blok: Соціал-демократи, SF, Червоно-зелений альянс, Соціал-ліберали, Альтернатива) і «синій» (blå blok: Venstre, Liberal Alliance, Консерватори, Данська народна партія, Danmarksdemokraterne та ін.). Ця неформальна структура є продуктом культури міжпартійних домовленостей, а не виборчого законодавства. На виборах 2026 року червоний блок здобув 84 мандати, синій — 77, а Moderaterne (14 місць) опинились у ролі «короля роблять» — партії, без якої жоден блок не набирає 90 необхідних голосів. Це підкреслює псефологічний ефект відсутності прохідного порогу для коаліційної арифметики: навіть середня партія може мати вирішальну позицію.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2.2 Муніципальні та регіональні вибори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Правова база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Основний закон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Lov om kommunale og regionale valg (Закон про місцеві та регіональні вибори)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Рівень 1 — муніципалітети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98 kommuner, обираються муніципальні ради від 9 до 55 членів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Рівень 2 — регіони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 regioner з 2027 р. (до 2027 — 5); регіональні ради по 41 або 47 членів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Частота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Кожні 4 роки, третій вівторок листопада; муніципальні й регіональні — одночасно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18 листопада 2025 року (вперше із новим поділом регіонів для Reg. Østdanmark)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Наступні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2029 рік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Виборча формула: д'Ондт у єдиному окрузі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На місцевих виборах уся територія муніципалітету або регіону є одним округом — немає ані стоккредсе, ані двоступеневого розподілу, характерного для Folketing. Мандати розподіляються методом д'Ондта в межах цього єдиного округу. Формального прохідного порогу не існує, однак реальний «математичний» поріг залежить від кількості місць у раді: чим менша рада, тим вища ефективна квота. У малій раді з 9 місць ефективний поріг сягає понад 10%, у великій Копенгагенській раді (55 місць) — близько 1,8%.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Відкриті списки та електоральні альянси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Як і на парламентських, списки на місцевих виборах є відкритими: виборець голосує або за партію, або за конкретного кандидата. Ключова відмінність — дозволеність електоральних альянсів (listeforbund / valgforbund). Кілька списків можуть об'єднати свої голоси для первинного розподілу мандатів за д'Ондтом, а отримані мандати потім розподіляються між партнерами за тим самим методом. Listeforbund є стратегічним інструментом дрібних партій і місцевих списків, що прагнуть подолати ефективний поріг.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Lokallister </w:t>
      </w:r>
      <w:r>
        <w:rPr>
          <w:rFonts w:ascii="Arial" w:cs="Arial" w:eastAsia="Arial" w:hAnsi="Arial"/>
          <w:sz w:val="22"/>
          <w:szCs w:val="22"/>
        </w:rPr>
        <w:t xml:space="preserve">(місцеві списки, не пов'язані з жодною національною партією) є специфічною рисою данських місцевих виборів. У деяких муніципалітетах lokallister отримують від 5 до 25% голосів і визначають склад мерської коаліції незалежно від блокової логіки, характерної для парламентського рівня. Наявність lokallister є одним із факторів, що відрізняє місцеву псефологічну динаміку від загальнонаціональної.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Особливий виборчий ценз: резиденти-іноземці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На місцевих виборах виборчим правом користуються не лише громадяни Данії, а й резиденти-іноземці. Громадяни інших держав ЄС, а також Ісландії, Норвегії та Великої Британії отримують це право автоматично за умови реєстрації в муніципалітеті. Громадяни решти країн — за умови щонайменше чотирирічного безперервного постійного проживання в Королівстві Данія (включаючи Гренландію та Фарерські острови). Це правило діє з 1981 року і є однією з найбільш ліберальних норм участі іноземців у виборах у Европі. Для порівняння: на парламентських виборах право голосу мають виключно громадяни Данії.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Структурна реформа 2007 і 2027 років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Реформа 2007 року (Kommunalreformen) скоротила кількість муніципалітетів із 275 до 98 і замінила 13 amter п'ятьма regioner. Наступна реформа, ухвалена у 2024 році і чинна з 1 січня 2027 року, об'єднує Hoofdstaden і Sjælland в новий «Регіон Східної Данії» (Region Østdanmark) з радою у 47 членів. Вибори 18 листопада 2025 року стали першими, де виборці Регіону Східної Данії обирали своїх регіональних радників як нову об'єднану структуру. Загальна кількість регіональних радників знизилася зі 205 (5 × 41) до 134 (4 × 41 або 47).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2.3 Вибори до Европейського парламенту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Правова база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Основний закон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Lov om valg af danske medlemmer til Europa-Parlamentet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Наднаціональний акт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Акт ЄС про прямі вибори 1976 р. (з поправками 2002 та 2018 рр.)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Кількість мандатів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15 депутатів (з 2024 р., після перерозподілу рішенням Ради ЄС 22.09.2023)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Структура округу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Вся Данія — один загальнонаціональний округ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Виборча формула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Метод д'Ондта з відкритими списками; дозволені listeforbund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Виборче право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Громадяни Данії від 18 р. + громадяни ЄС-резиденти за заявкою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Частота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Кожні 5 років (загальноєвропейський цикл)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9 червня 2024 року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Виборча формула: д'Ондт без рівнів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відміну від парламентських виборів, де застосовується двоступеневий механізм, вибори до Европейського парламенту проводяться в єдиному загальнонаціональному окрузі без компенсаторного рівня. Метод розподілу — д'Ондт. Наслідок: ефективний математичний поріг входу при 15 мандатах і одному окрузі становить приблизно 6–7% (орієнтовно 1/15 від загальної кількості голосів за формулою квоти Хейра). Це помітно вище, ніж 2-відсотковий поріг для Folketing.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Listeforbund дозволені і відіграють стратегічну роль: невеликі партії, кожна з яких може не подолати ефективний поріг самостійно, об'єднують голоси в альянс для спільного отримання мандату. На виборах 2024 року Venstre, Соціал-ліберали і Moderaterne сформували спільний listeforbund, а Соціал-демократи і Danmarksdemokraterne — кожна окремо.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Виборче право: ЄС-резиденти та поворотна реєстрація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Специфіка виборців на євровиборах полягає в тому, що громадяни інших держав-членів ЄС, які постійно мешкають у Данії, мають право голосу — але лише після подачі заявки на включення до данського реєстру виборців не пізніше ніж за п'ять тижнів до дня виборів. Ця «активна реєстрація» принципово відрізняє участь ЄС-резидентів у євровиборах від їхньої участі у місцевих виборах, де реєстрація відбувається автоматично.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Оптаути та їхній вплив на виборчу поведінку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Данія є єдиною державою-членом ЄС з трьома чинними інституційними оптаутами: від єдиної валюти (євро), від співпраці у сфері юстиції та внутрішніх справ і від певних аспектів громадянства ЄС. Оборонний оптаут був скасований на референдумі 1 червня 2022 року. Існування оптаутів означає, що частина компетенцій ЄС не поширюється на Данію — і це структурно впливає на те, які теми стають центральними у виборчій кампанії. Традиційно данські євровибори були сценою для партій з чітко вираженою позицією щодо ЄС-інтеграції: аж до 2019 року Народний рух проти ЄС (Folkebevægelsen mod EU) мав постійне представництво в Европейському парламенті з 1979 до 2019 року, коли втратив своє місце.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2.4 Референдуми (Folkeafstemning)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Конституційна база: чотири типи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Данська Grundlov передбачає чотири конституційно визначені типи референдумів, кожен із власними умовами проведення і порогом прийняття рішень. Ця типологія є одним із найскладніших прямодемократичних механізмів серед країн-членів ЄС.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§20 — делегування суверенітету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Обов'язковий, якщо за передачу повноважень міжнародній організації проголосувало менше 5/6 (150 з 179) депутатів Folketing. Рішення приймається простою більшістю учасників за умови, що «за» проголосувало щонайменше 30% від усього списку виборців.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§29 — зміна вікового цензу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Обов'язковий для будь-якої зміни вікового порогу виборчого права. Усі п'ять референдумів 1953–1978 рр. проходили на підставі цієї норми.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§42 — факультативний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Одна третина депутатів (60 з 179) може протягом трьох робочих днів після ухвалення закону вимагати його винесення на референдум. Виключено з-під дії бюджетні, податкові та низку інших законів. Де-факто не застосовувався з 1953 р.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§88 — конституційна поправка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Двоетапна процедура: ухвала в чинному парламенті → нові вибори → повторна ухвала того ж тексту → референдум. Для прийняття необхідно «за» від щонайменше 40% усього електорату. Остання успішна конституційна зміна — 1953 рік.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Консультативні референдуми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Окрім обов'язкових, данський парламент може проводити консультативні (vejledende) референдуми з будь-якого питання. Такі референдуми юридично не є зобов'язальними, однак у практиці данської демократії їхні результати завжди поважалися. Референдум 2022 року про скасування оборонного оптауту був проведений за цією схемою: прем'єр-міністр оголосила його 6 березня 2022 року — через десять днів після початку повномасштабного вторгнення Росії в Україну — і 11 з 14 парламентських партій підтримали позицію «так».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Умови прийняття рішення і кворум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Ключова особливість данських референдумів — подвійна умова для відхилення закону на факультативному референдумі за §42: проти має проголосувати і більшість учасників, і ця меншість «проти» має становити щонайменше 30% від загального числа виборців. Це означає, що низька явка сама по собі не скасовує закон — потрібна активна мобілізація опонентів. У разі конституційних змін (§88) умова ще суворіша: 40% від усього електорату мають проголосувати «за». Саме ця норма зробила конституцію 1953 року фактично «замороженою» — жодна пізніша поправка не пройшла.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Дев'ять референдумів про ЄС/ЄЕС як псефологічна лабораторія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З 1972 до 2022 року Данія провела дев'ять референдумів, пов'язаних з членством та інтеграцією в ЄС/ЄЕС. Це не просто рекорд серед держав-членів — це унікальна серія даних для вивчення поведінки данського електорату у прямодемократичному форматі. Три з дев'яти референдумів завершилися відхиленням: Маастрихтський договір (1992, 50,7% «проти»), введення євро (2000, 53,2% «проти»), перетворення оптауту в галузі юстиції (2015, 53,1% «проти»). Жоден інший член ЄС не відхиляв інтеграційні кроки так часто. Натомість референдум 2022 року про оборонний оптаут дав 66,9% «за» — найвищий проєвропейський результат в истории Данії. Сукупно ця серія демонструє, що данський електорат у прямодемократичному форматі є значно більш скептичним щодо поглиблення інтеграції, ніж данський парламент.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2.5 Виборча система Фарерських островів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Конституційний та правовий статус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Фарерські острови є самоврядною частиною Данського королівства (Rigsfællesskabet) з 1948 року. Закон про самоврядування (Hjemmestyreloven 1948) надав островам широку автономію у внутрішніх справах; зовнішня політика, оборона, монетарна система і певні аспекти юстиції залишаються у компетенції Копенгагена. Фарерці обирають представників у два різних органи: Løgting (власний парламент) і Фолькетинг (два місця в данському парламенті).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Løgting: 33 місця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Склад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33 члени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Округ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Єдиний загальнонаціональний (з 2007 р., до цього — 7 регіональних округів)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Виборча формула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Метод найбільшого залишку (квота Хейра); ефективний поріг ≈ 3%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Відкриті/закриті списки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Відкриті — виборець може голосувати за кандидата або за партію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Строк повноважень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 роки, з правом дострокового розпуску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26 березня 2026 року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Вибори 26 березня 2026 року відбулися через два дні після парламентських виборів у материковій Данії (24 березня) і виявили специфіку фарерської партійної системи: вона структурована одночасно за двома осями — лівий/правий спектр і юніоністська/незалежницька позиція. Народна партія (Fólkaflokkurin) Бейніра Йоганнесена посіла перше місце, і 13 квітня 2026 року Løgting обрав Йоганнесена прем'єр-міністром. Це підкреслює, що вибори до Løgting визначають власний уряд Фарерських островів, відокремлений від данського.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Представництво у Folketing: 2 мандати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Два місця в данському Folketing від Фарерських островів заповнюються за спрощеною схемою: виборці голосують за місцеві партії або кандидатів, пов'язаних з місцевими партіями, а не за партії материкової Данії. Після обрання фарерські депутати зазвичай приєднуються до того чи іншого блоку Folketing відповідно до своїх ідеологічних позицій. У 2026 році обидва фарерські мандати брали участь у коаліційній арифметиці, де різниця між блоками становила 7 місць.</w:t>
      </w:r>
    </w:p>
    <w:p>
      <w:pPr>
        <w:spacing w:after="80" w:before="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5797"/>
          <w:sz w:val="26"/>
          <w:szCs w:val="26"/>
        </w:rPr>
        <w:t xml:space="preserve">2.6 Виборча система Гренландії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Конституційний та правовий статус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Гренландія стала частиною Данії у 1953 році (раніше мала статус колонії). Закон про домашнє правління 1979 року і Закон про самоврядування 2009 року надали Гренландії широку автономію і визнали гренландців окремим народом за міжнародним правом. Гренландія не є членом ЄС — вона вийшла зі складу Европейської спільноти у 1985 році після окремого референдуму 1982 року.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Inatsisartut: 31 місце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Склад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31 член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Inatsisartut (гренландська) / Landsting (данська)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Округ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Єдиний загальнонаціональний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Виборча формула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Метод д'Ондта; відкриті списки; формального порогу немає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Ефективний поріг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≈ 3% (1/31 голосів за формулою Хейра)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8FC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Виборче право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C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Громадяни Данії від 18 р. з постійним місцем проживання в Гренландії ≥ 6 міс.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0F8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Останні вибори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11 березня 2025 року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Усі основні гренландські партії поділяють мету незалежності як кінцеву стратегічну ціль — розбіжності між ними стосуються лише темпу і умов досягнення цього статусу. Це робить гренландську партійну систему унікальною: у ній немає традиційного лівого/правого поділу у його звичному европейському сенсі; головна вісь конфлікту — конституційна (суверенізм vs. прагматичний юнізм у рамках Rigsfællesskabet).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Вибори 11 березня 2025 року проходили в контексті тиску з боку адміністрації Трампа щодо придбання Гренландії і стали найбільш міжнародно помітними виборами в истории острова. Перемогу несподівано здобула партія Demokraatit (ліберально-центристська, прихильна до поступової незалежності), що набрала 29,9% і 10 мандатів. Після виборів сформовано рекордно широку коаліцію з чотирьох партій, яка контролює 23 з 31 місця в Inatsisartut.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Представництво у Folketing: 2 мандати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Аналогічно до Фарерських островів, Гренландія має два місця в данському Folketing, що обираються за спрощеними місцевими правилами. Гренландські депутати традиційно підтримують «червоний» блок Folketing, що у 2022 та 2026 роках мало критичне значення для формування блокової більшості.</w:t>
      </w:r>
    </w:p>
    <w:p>
      <w:pPr>
        <w:spacing w:after="80" w:before="0"/>
      </w:pPr>
      <w:r>
        <w:t xml:space="preserve"/>
      </w:r>
    </w:p>
    <w:p>
      <w:r>
        <w:br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ЧАСТИНА 3. ПОРІВНЯЛЬНА ТАБЛИЦЯ ВИБОРЧИХ СИСТЕМ</w:t>
      </w:r>
    </w:p>
    <w:p>
      <w:pPr>
        <w:spacing w:after="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1560"/>
        <w:gridCol w:w="1600"/>
        <w:gridCol w:w="1700"/>
        <w:gridCol w:w="150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Тип виборів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Мандати / місця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Округ(и)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Виборча формула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Поріг входу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Відкр. списки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Folketing (парламент)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179 (175+2+2)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10 storkredse + 3 провінції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д'Ондт (окрузі) + Хейра (нац.)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2% або окр. мандат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Муніципальні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≈2 432 всього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округ = весь муніц.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д'Ондт; listeforbund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Немає (≈3–10% ефект.)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 + lokallister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Регіональні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134 (4 рег.)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округ = весь регіон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д'Ондт; listeforbund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Немає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Евпропейський парламент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15 депутатів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нац. округ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д'Ондт; listeforbund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Немає (≈6–7% ефект.)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Референдум §20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Вся країна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Проста більшість + ≥30% ел.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30% від електор.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Конст. зміна §88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Вся країна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Більшість + ≥40% ел.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40% від електор.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Løgting (Фарери)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33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нац. округ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Метод Хейра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≈3% ефективний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Inatsisartut (Гренл.)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31</w:t>
            </w:r>
          </w:p>
        </w:tc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нац. округ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д'Ондт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Немає (≈3% ефект.)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4F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Так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80" w:before="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ЧАСТИНА 4. СИСТЕМНІ ПСЕФОЛОГІЧНІ ЕФЕКТИ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4.1 Ефект низького порогу: структурна багатопартійність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Двовідсотковий поріг для парламентських виборів є першопричиною постійної багатопартійності. Жодного разу з 1953 року Folketing не мав менше семи партій; з 1973 року — не менше десяти. Ефективна кількість парламентських партій (індекс Laakso-Taagepera) стабільно тримається в діапазоні 5–7, що є одним з найвищих показників у Европі. Псефологічний наслідок: жодна партія ніколи не отримує більшості самостійно, коаліційне будівництво є перманентним процесом, а уряд з необхідністю є або меншинним, або широкою коаліцією.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4.2 Ефект двоступеневості: квазіідеальна пропорційність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Механізм 135 окружних + 40 компенсаторних мандатів робить данську систему квазіідеально пропорційною: розбіжність між часткою голосів і часткою місць на рівні всієї країни зазвичай не перевищує 0,5–1 відсоткового пункту. Для порівняння: у Великій Британії при мажоритарній системі ця розбіжність регулярно сягає 15–20 п.п. У данській системі мала партія, що отримала рівно 2% голосів, отримає рівно ≈ 3,5 мандата (2% від 175) — і справді отримає 3 або 4 місця завдяки компенсаторному механізму. Це є потужним стимулом для участі малих партій.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4.3 Ефект відкритих списків: персоналізація без мажоритарності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Відкриті списки дають виборцям можливість впливати на те, хто конкретно потрапить до парламенту — без втрати пропорційності між партіями. Водночас цей ефект є асиметричним: більшість виборців голосують за партію (partistemme), а не за кандидата, тому внутрішньопартійний список фактично визначає партійне керівництво. Лише популярні особистості зі значним регіональним корінням регулярно змінюють свій позиційний рейтинг у списку завдяки персональним голосам. Таким чином, данська система поєднує переваги відкритих і закритих списків, не маючи характерних недоліків жодного з крайніх варіантів.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4.4 Ефект негативного парламентаризму: меншинні уряди як норма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Норма §15 конституції 1953 року про негативний парламентаризм разом з пропорційною системою і низьким порогом породжує специфічну управлінську культуру. Прем'єр-міністр меншинного уряду змушений щоразу шукати ad hoc більшість для кожного окремого закону — і часто знаходить різні парламентські більшості для різних питань. Це змушує опозиційні партії брати на себе законодавчу відповідальність навіть не входячи до уряду. Псефологічний ефект: влада розпилена між урядом і парламентом значно більше, ніж у мажоритарних системах — що є структурним запобіжником проти концентрації влади.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4.5 Ефект референдного механізму: пряма демократія як конституційний запобіжник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Конституційна норма §20 зробила референдум обов'язковим інструментом ратифікації будь-якої суттєвої передачі суверенітету ЄС, якщо в парламенті немає кваліфікованої більшості у 5/6. Це унікальна риса данської системи: жодна держава-член ЄС не має такого строгого конституційного зобов'язання щодо прямодемократичної ратифікації. Наслідок — Данія провела в рази більше референдумів щодо інтеграції, ніж будь-яка інша держава ЄС, що водночас підвищує легітимність прийнятих рішень і уповільнює темп інтеграції.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4.6 Асиметрія між рівнями виборів: феномен другого порядку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Архітектурно данська виборча система є ієрархічно структурованою: парламентські вибори є першочерговими і сприймаються виборцями як найвагоміші, а всі інші — муніципальні, регіональні, европейські — мають ознаки «виборів другого порядку» у класичному сенсі Райфа і Шмітта. Ця асиметрія проявляється не у формальних правилах, а у поведінці виборців: інструментально більш значущі вибори мобілізують більше виборців. Між рівнями виборів існує і відмінність виборчого цензу: парламентські вибори — виключно для громадян, місцеві — відкриті для резидентів-іноземців. Ця асиметрія відображає принципову різницю між участю у визначенні загальнонаціонального суверенітету і участю у місцевому самоврядуванні.</w:t>
      </w:r>
    </w:p>
    <w:p>
      <w:pPr>
        <w:spacing w:after="80" w:before="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ВИСНОВКИ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Данська виборча система в своїй сукупності є продуманою архітектурою взаємопідсилюючих елементів. Двовідсотковий поріг забезпечує широку партійну інклюзію; двоступеневий механізм гарантує пропорційність; відкриті списки персоналізують представництво без мажоритарних спотворень; негативний парламентаризм розподіляє владу між урядом і парламентом; обов'язкові референдуми захищають суверенітет від надто легкого делегування; а автономні виборчі системи Фарерських островів і Гренландії вписуються в загальну конституційну рамку Rigsfællesskabet, зберігаючи власну псефологічну ідентичність.</w:t>
      </w:r>
    </w:p>
    <w:p>
      <w:pPr>
        <w:spacing w:after="140" w:before="0" w:line="276" w:lineRule="auto"/>
        <w:jc w:val="both"/>
      </w:pPr>
      <w:r>
        <w:rPr>
          <w:rFonts w:ascii="Arial" w:cs="Arial" w:eastAsia="Arial" w:hAnsi="Arial"/>
          <w:sz w:val="22"/>
          <w:szCs w:val="22"/>
        </w:rPr>
        <w:t xml:space="preserve">Ця архітектура не є наслідком єдиного задуму — вона складалася протягом 130 років поступових компромісів. Але саме ця поступовість і консенсусний характер її побудови є, мабуть, найважливішою характеристикою данської виборчої системи: вона відображає культуру, в якій правила гри змінюються лише тоді, коли для цього є широка суспільна згода.</w:t>
      </w:r>
    </w:p>
    <w:sectPr>
      <w:headerReference w:type="default" r:id="rId7"/>
      <w:footerReference w:type="default" r:id="rId8"/>
      <w:pgSz w:w="11906" w:h="16838" w:orient="portrait"/>
      <w:pgMar w:top="1440" w:right="12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1"/>
      </w:pBdr>
      <w:spacing w:before="8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Стор.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|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5797" w:sz="6" w:space="1"/>
      </w:pBdr>
      <w:spacing w:after="120"/>
      <w:jc w:val="right"/>
    </w:pPr>
    <w:r>
      <w:rPr>
        <w:rFonts w:ascii="Arial" w:cs="Arial" w:eastAsia="Arial" w:hAnsi="Arial"/>
        <w:i/>
        <w:iCs/>
        <w:color w:val="555555"/>
        <w:sz w:val="18"/>
        <w:szCs w:val="18"/>
      </w:rPr>
      <w:t xml:space="preserve">Виборча система Данії — псефологічний аналіз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2E5797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Arial" w:cs="Arial" w:eastAsia="Arial" w:hAnsi="Arial"/>
      <w:b/>
      <w:bCs/>
      <w:color w:val="375CA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2026-05-20T20:00:51.151Z</dcterms:created>
  <dcterms:modified xsi:type="dcterms:W3CDTF">2026-05-20T20:00:51.166Z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